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A01EB" w14:textId="6D6697A7" w:rsidR="004E2FCF" w:rsidRDefault="00652C1E">
      <w:r w:rsidRPr="006708F2">
        <w:rPr>
          <w:rStyle w:val="Heading4Char"/>
          <w:rFonts w:eastAsiaTheme="minorHAnsi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E3BC86" wp14:editId="42B9A2A0">
                <wp:simplePos x="0" y="0"/>
                <wp:positionH relativeFrom="column">
                  <wp:posOffset>-781050</wp:posOffset>
                </wp:positionH>
                <wp:positionV relativeFrom="page">
                  <wp:posOffset>1117600</wp:posOffset>
                </wp:positionV>
                <wp:extent cx="7512050" cy="3575050"/>
                <wp:effectExtent l="0" t="0" r="12700" b="25400"/>
                <wp:wrapTight wrapText="bothSides">
                  <wp:wrapPolygon edited="0">
                    <wp:start x="0" y="0"/>
                    <wp:lineTo x="0" y="21638"/>
                    <wp:lineTo x="21582" y="21638"/>
                    <wp:lineTo x="2158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0" cy="3575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D43B0" w14:textId="77777777" w:rsidR="00652C1E" w:rsidRPr="00CA7D2F" w:rsidRDefault="00652C1E" w:rsidP="00652C1E">
                            <w:pPr>
                              <w:pStyle w:val="Arial10pt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20"/>
                              </w:rPr>
                            </w:pPr>
                            <w:r w:rsidRPr="00CA7D2F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20"/>
                              </w:rPr>
                              <w:t>Recent HR Changes that May Impact Your Handbook—and Your Policies</w:t>
                            </w:r>
                          </w:p>
                          <w:p w14:paraId="6B0A7653" w14:textId="70FF1011" w:rsidR="00652C1E" w:rsidRPr="00CA7D2F" w:rsidRDefault="00652C1E" w:rsidP="00CA7D2F">
                            <w:pPr>
                              <w:pStyle w:val="Arial10pt"/>
                              <w:numPr>
                                <w:ilvl w:val="0"/>
                                <w:numId w:val="3"/>
                              </w:numPr>
                              <w:spacing w:before="120" w:line="240" w:lineRule="auto"/>
                              <w:ind w:left="450"/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</w:pPr>
                            <w:r w:rsidRPr="00CA7D2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>The National Labor Relations Board (NLRB) has overruled a previous</w:t>
                            </w:r>
                            <w:r w:rsidR="00AE5B3C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CA7D2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>standard</w:t>
                            </w:r>
                            <w:r w:rsidR="00AE5B3C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Pr="00CA7D2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 xml:space="preserve">striking down employer policies that can be "reasonably construed" to limit employee discussions about wages and working conditions—even if that was not a policy’s intent. (This decision </w:t>
                            </w:r>
                            <w:r w:rsidR="008D54A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 xml:space="preserve">effectively </w:t>
                            </w:r>
                            <w:r w:rsidRPr="00CA7D2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>increases employer control over social media</w:t>
                            </w:r>
                            <w:r w:rsidR="008D54A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 xml:space="preserve"> in the </w:t>
                            </w:r>
                            <w:r w:rsidR="008D54AF" w:rsidRPr="00CA7D2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>workplace</w:t>
                            </w:r>
                            <w:r w:rsidRPr="00CA7D2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>.)</w:t>
                            </w:r>
                          </w:p>
                          <w:p w14:paraId="0B6A419F" w14:textId="1A2F5104" w:rsidR="00652C1E" w:rsidRPr="00CA7D2F" w:rsidRDefault="00652C1E" w:rsidP="00CA7D2F">
                            <w:pPr>
                              <w:pStyle w:val="Arial10pt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50"/>
                              <w:rPr>
                                <w:rStyle w:val="Arial10ptChar"/>
                                <w:rFonts w:ascii="Arial Narrow" w:eastAsiaTheme="minorHAnsi" w:hAnsi="Arial Narrow"/>
                                <w:sz w:val="36"/>
                                <w:szCs w:val="20"/>
                                <w:lang w:bidi="ar-SA"/>
                              </w:rPr>
                            </w:pPr>
                            <w:r w:rsidRPr="00CA7D2F">
                              <w:rPr>
                                <w:rStyle w:val="Arial10ptChar"/>
                                <w:rFonts w:ascii="Arial Narrow" w:eastAsiaTheme="minorHAnsi" w:hAnsi="Arial Narrow"/>
                                <w:sz w:val="36"/>
                                <w:szCs w:val="20"/>
                                <w:lang w:bidi="ar-SA"/>
                              </w:rPr>
                              <w:t>Several states have recently passed sexual harassment training laws, and more may do so.</w:t>
                            </w:r>
                          </w:p>
                          <w:p w14:paraId="066420CB" w14:textId="5FFD9083" w:rsidR="00652C1E" w:rsidRPr="00CA7D2F" w:rsidRDefault="00652C1E" w:rsidP="00CA7D2F">
                            <w:pPr>
                              <w:pStyle w:val="Arial10pt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50"/>
                              <w:rPr>
                                <w:rStyle w:val="Arial10ptChar"/>
                                <w:rFonts w:ascii="Arial Narrow" w:eastAsiaTheme="minorHAnsi" w:hAnsi="Arial Narrow"/>
                                <w:sz w:val="36"/>
                                <w:szCs w:val="20"/>
                                <w:lang w:bidi="ar-SA"/>
                              </w:rPr>
                            </w:pPr>
                            <w:r w:rsidRPr="00CA7D2F">
                              <w:rPr>
                                <w:rStyle w:val="Arial10ptChar"/>
                                <w:rFonts w:ascii="Arial Narrow" w:eastAsiaTheme="minorHAnsi" w:hAnsi="Arial Narrow"/>
                                <w:sz w:val="36"/>
                                <w:szCs w:val="20"/>
                                <w:lang w:bidi="ar-SA"/>
                              </w:rPr>
                              <w:t xml:space="preserve">Some states are </w:t>
                            </w:r>
                            <w:r w:rsidR="008D54AF">
                              <w:rPr>
                                <w:rStyle w:val="Arial10ptChar"/>
                                <w:rFonts w:ascii="Arial Narrow" w:eastAsiaTheme="minorHAnsi" w:hAnsi="Arial Narrow"/>
                                <w:sz w:val="36"/>
                                <w:szCs w:val="20"/>
                                <w:lang w:bidi="ar-SA"/>
                              </w:rPr>
                              <w:t>expanding</w:t>
                            </w:r>
                            <w:r w:rsidRPr="00CA7D2F">
                              <w:rPr>
                                <w:rStyle w:val="Arial10ptChar"/>
                                <w:rFonts w:ascii="Arial Narrow" w:eastAsiaTheme="minorHAnsi" w:hAnsi="Arial Narrow"/>
                                <w:sz w:val="36"/>
                                <w:szCs w:val="20"/>
                                <w:lang w:bidi="ar-SA"/>
                              </w:rPr>
                              <w:t xml:space="preserve"> their family leave, lactation and pregnancy accommodation laws.</w:t>
                            </w:r>
                          </w:p>
                          <w:p w14:paraId="4A4ACFC8" w14:textId="24FE7F11" w:rsidR="00652C1E" w:rsidRPr="00CA7D2F" w:rsidRDefault="00652C1E" w:rsidP="00CA7D2F">
                            <w:pPr>
                              <w:pStyle w:val="Arial10pt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450"/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</w:pPr>
                            <w:r w:rsidRPr="00CA7D2F">
                              <w:rPr>
                                <w:rStyle w:val="Arial10ptChar"/>
                                <w:rFonts w:ascii="Arial Narrow" w:eastAsiaTheme="minorHAnsi" w:hAnsi="Arial Narrow"/>
                                <w:sz w:val="36"/>
                                <w:szCs w:val="20"/>
                                <w:lang w:bidi="ar-SA"/>
                              </w:rPr>
                              <w:t xml:space="preserve">The </w:t>
                            </w:r>
                            <w:r w:rsidRPr="00CA7D2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>U.S. Circuit Court of Appeals </w:t>
                            </w:r>
                            <w:r w:rsidRPr="00CA7D2F">
                              <w:rPr>
                                <w:rFonts w:ascii="Arial Narrow" w:eastAsiaTheme="majorEastAsia" w:hAnsi="Arial Narrow"/>
                                <w:sz w:val="36"/>
                                <w:szCs w:val="20"/>
                              </w:rPr>
                              <w:t xml:space="preserve">recently ruled that </w:t>
                            </w:r>
                            <w:r w:rsidRPr="00CA7D2F">
                              <w:rPr>
                                <w:rFonts w:ascii="Arial Narrow" w:hAnsi="Arial Narrow"/>
                                <w:sz w:val="36"/>
                                <w:szCs w:val="20"/>
                              </w:rPr>
                              <w:t xml:space="preserve">an extended leave of absence beyond FMLA time isn't a “reasonable accommodation.”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3BC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5pt;margin-top:88pt;width:591.5pt;height:28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" fillcolor="#f2f2f2 [3052]">
                <v:textbox>
                  <w:txbxContent>
                    <w:p w14:paraId="2DAD43B0" w14:textId="77777777" w:rsidR="00652C1E" w:rsidRPr="00CA7D2F" w:rsidRDefault="00652C1E" w:rsidP="00652C1E">
                      <w:pPr>
                        <w:pStyle w:val="Arial10pt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20"/>
                        </w:rPr>
                      </w:pPr>
                      <w:r w:rsidRPr="00CA7D2F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20"/>
                        </w:rPr>
                        <w:t>Recent HR Changes that May Impact Your Handbook—and Your Policies</w:t>
                      </w:r>
                    </w:p>
                    <w:p w14:paraId="6B0A7653" w14:textId="70FF1011" w:rsidR="00652C1E" w:rsidRPr="00CA7D2F" w:rsidRDefault="00652C1E" w:rsidP="00CA7D2F">
                      <w:pPr>
                        <w:pStyle w:val="Arial10pt"/>
                        <w:numPr>
                          <w:ilvl w:val="0"/>
                          <w:numId w:val="3"/>
                        </w:numPr>
                        <w:spacing w:before="120" w:line="240" w:lineRule="auto"/>
                        <w:ind w:left="450"/>
                        <w:rPr>
                          <w:rFonts w:ascii="Arial Narrow" w:hAnsi="Arial Narrow"/>
                          <w:sz w:val="36"/>
                          <w:szCs w:val="20"/>
                        </w:rPr>
                      </w:pPr>
                      <w:r w:rsidRPr="00CA7D2F">
                        <w:rPr>
                          <w:rFonts w:ascii="Arial Narrow" w:hAnsi="Arial Narrow"/>
                          <w:sz w:val="36"/>
                          <w:szCs w:val="20"/>
                        </w:rPr>
                        <w:t>The National Labor Relations Board (NLRB) has overruled a previous</w:t>
                      </w:r>
                      <w:r w:rsidR="00AE5B3C">
                        <w:rPr>
                          <w:rFonts w:ascii="Arial Narrow" w:hAnsi="Arial Narrow"/>
                          <w:sz w:val="36"/>
                          <w:szCs w:val="20"/>
                        </w:rPr>
                        <w:t xml:space="preserve"> </w:t>
                      </w:r>
                      <w:r w:rsidRPr="00CA7D2F">
                        <w:rPr>
                          <w:rFonts w:ascii="Arial Narrow" w:hAnsi="Arial Narrow"/>
                          <w:sz w:val="36"/>
                          <w:szCs w:val="20"/>
                        </w:rPr>
                        <w:t>standard</w:t>
                      </w:r>
                      <w:r w:rsidR="00AE5B3C">
                        <w:rPr>
                          <w:rFonts w:ascii="Arial Narrow" w:hAnsi="Arial Narrow"/>
                          <w:sz w:val="36"/>
                          <w:szCs w:val="20"/>
                        </w:rPr>
                        <w:t xml:space="preserve"> </w:t>
                      </w:r>
                      <w:r w:rsidRPr="00CA7D2F">
                        <w:rPr>
                          <w:rFonts w:ascii="Arial Narrow" w:hAnsi="Arial Narrow"/>
                          <w:sz w:val="36"/>
                          <w:szCs w:val="20"/>
                        </w:rPr>
                        <w:t xml:space="preserve">striking down employer policies that can be "reasonably construed" to limit employee discussions about wages and working conditions—even if that was not a policy’s intent. (This decision </w:t>
                      </w:r>
                      <w:r w:rsidR="008D54AF">
                        <w:rPr>
                          <w:rFonts w:ascii="Arial Narrow" w:hAnsi="Arial Narrow"/>
                          <w:sz w:val="36"/>
                          <w:szCs w:val="20"/>
                        </w:rPr>
                        <w:t xml:space="preserve">effectively </w:t>
                      </w:r>
                      <w:r w:rsidRPr="00CA7D2F">
                        <w:rPr>
                          <w:rFonts w:ascii="Arial Narrow" w:hAnsi="Arial Narrow"/>
                          <w:sz w:val="36"/>
                          <w:szCs w:val="20"/>
                        </w:rPr>
                        <w:t>increases employer control over social media</w:t>
                      </w:r>
                      <w:r w:rsidR="008D54AF">
                        <w:rPr>
                          <w:rFonts w:ascii="Arial Narrow" w:hAnsi="Arial Narrow"/>
                          <w:sz w:val="36"/>
                          <w:szCs w:val="20"/>
                        </w:rPr>
                        <w:t xml:space="preserve"> in the </w:t>
                      </w:r>
                      <w:r w:rsidR="008D54AF" w:rsidRPr="00CA7D2F">
                        <w:rPr>
                          <w:rFonts w:ascii="Arial Narrow" w:hAnsi="Arial Narrow"/>
                          <w:sz w:val="36"/>
                          <w:szCs w:val="20"/>
                        </w:rPr>
                        <w:t>workplace</w:t>
                      </w:r>
                      <w:r w:rsidRPr="00CA7D2F">
                        <w:rPr>
                          <w:rFonts w:ascii="Arial Narrow" w:hAnsi="Arial Narrow"/>
                          <w:sz w:val="36"/>
                          <w:szCs w:val="20"/>
                        </w:rPr>
                        <w:t>.)</w:t>
                      </w:r>
                    </w:p>
                    <w:p w14:paraId="0B6A419F" w14:textId="1A2F5104" w:rsidR="00652C1E" w:rsidRPr="00CA7D2F" w:rsidRDefault="00652C1E" w:rsidP="00CA7D2F">
                      <w:pPr>
                        <w:pStyle w:val="Arial10pt"/>
                        <w:numPr>
                          <w:ilvl w:val="0"/>
                          <w:numId w:val="3"/>
                        </w:numPr>
                        <w:spacing w:line="240" w:lineRule="auto"/>
                        <w:ind w:left="450"/>
                        <w:rPr>
                          <w:rStyle w:val="Arial10ptChar"/>
                          <w:rFonts w:ascii="Arial Narrow" w:eastAsiaTheme="minorHAnsi" w:hAnsi="Arial Narrow"/>
                          <w:sz w:val="36"/>
                          <w:szCs w:val="20"/>
                          <w:lang w:bidi="ar-SA"/>
                        </w:rPr>
                      </w:pPr>
                      <w:r w:rsidRPr="00CA7D2F">
                        <w:rPr>
                          <w:rStyle w:val="Arial10ptChar"/>
                          <w:rFonts w:ascii="Arial Narrow" w:eastAsiaTheme="minorHAnsi" w:hAnsi="Arial Narrow"/>
                          <w:sz w:val="36"/>
                          <w:szCs w:val="20"/>
                          <w:lang w:bidi="ar-SA"/>
                        </w:rPr>
                        <w:t>Several states have recently passed sexual harassment training laws, and more may do so.</w:t>
                      </w:r>
                    </w:p>
                    <w:p w14:paraId="066420CB" w14:textId="5FFD9083" w:rsidR="00652C1E" w:rsidRPr="00CA7D2F" w:rsidRDefault="00652C1E" w:rsidP="00CA7D2F">
                      <w:pPr>
                        <w:pStyle w:val="Arial10pt"/>
                        <w:numPr>
                          <w:ilvl w:val="0"/>
                          <w:numId w:val="3"/>
                        </w:numPr>
                        <w:spacing w:line="240" w:lineRule="auto"/>
                        <w:ind w:left="450"/>
                        <w:rPr>
                          <w:rStyle w:val="Arial10ptChar"/>
                          <w:rFonts w:ascii="Arial Narrow" w:eastAsiaTheme="minorHAnsi" w:hAnsi="Arial Narrow"/>
                          <w:sz w:val="36"/>
                          <w:szCs w:val="20"/>
                          <w:lang w:bidi="ar-SA"/>
                        </w:rPr>
                      </w:pPr>
                      <w:r w:rsidRPr="00CA7D2F">
                        <w:rPr>
                          <w:rStyle w:val="Arial10ptChar"/>
                          <w:rFonts w:ascii="Arial Narrow" w:eastAsiaTheme="minorHAnsi" w:hAnsi="Arial Narrow"/>
                          <w:sz w:val="36"/>
                          <w:szCs w:val="20"/>
                          <w:lang w:bidi="ar-SA"/>
                        </w:rPr>
                        <w:t xml:space="preserve">Some states are </w:t>
                      </w:r>
                      <w:r w:rsidR="008D54AF">
                        <w:rPr>
                          <w:rStyle w:val="Arial10ptChar"/>
                          <w:rFonts w:ascii="Arial Narrow" w:eastAsiaTheme="minorHAnsi" w:hAnsi="Arial Narrow"/>
                          <w:sz w:val="36"/>
                          <w:szCs w:val="20"/>
                          <w:lang w:bidi="ar-SA"/>
                        </w:rPr>
                        <w:t>expanding</w:t>
                      </w:r>
                      <w:r w:rsidRPr="00CA7D2F">
                        <w:rPr>
                          <w:rStyle w:val="Arial10ptChar"/>
                          <w:rFonts w:ascii="Arial Narrow" w:eastAsiaTheme="minorHAnsi" w:hAnsi="Arial Narrow"/>
                          <w:sz w:val="36"/>
                          <w:szCs w:val="20"/>
                          <w:lang w:bidi="ar-SA"/>
                        </w:rPr>
                        <w:t xml:space="preserve"> their family leave, lactation and pregnancy accommodation laws.</w:t>
                      </w:r>
                    </w:p>
                    <w:p w14:paraId="4A4ACFC8" w14:textId="24FE7F11" w:rsidR="00652C1E" w:rsidRPr="00CA7D2F" w:rsidRDefault="00652C1E" w:rsidP="00CA7D2F">
                      <w:pPr>
                        <w:pStyle w:val="Arial10pt"/>
                        <w:numPr>
                          <w:ilvl w:val="0"/>
                          <w:numId w:val="3"/>
                        </w:numPr>
                        <w:spacing w:line="240" w:lineRule="auto"/>
                        <w:ind w:left="450"/>
                        <w:rPr>
                          <w:rFonts w:ascii="Arial Narrow" w:hAnsi="Arial Narrow"/>
                          <w:sz w:val="36"/>
                          <w:szCs w:val="20"/>
                        </w:rPr>
                      </w:pPr>
                      <w:r w:rsidRPr="00CA7D2F">
                        <w:rPr>
                          <w:rStyle w:val="Arial10ptChar"/>
                          <w:rFonts w:ascii="Arial Narrow" w:eastAsiaTheme="minorHAnsi" w:hAnsi="Arial Narrow"/>
                          <w:sz w:val="36"/>
                          <w:szCs w:val="20"/>
                          <w:lang w:bidi="ar-SA"/>
                        </w:rPr>
                        <w:t xml:space="preserve">The </w:t>
                      </w:r>
                      <w:r w:rsidRPr="00CA7D2F">
                        <w:rPr>
                          <w:rFonts w:ascii="Arial Narrow" w:hAnsi="Arial Narrow"/>
                          <w:sz w:val="36"/>
                          <w:szCs w:val="20"/>
                        </w:rPr>
                        <w:t>U.S. Circuit Court of Appeals </w:t>
                      </w:r>
                      <w:r w:rsidRPr="00CA7D2F">
                        <w:rPr>
                          <w:rFonts w:ascii="Arial Narrow" w:eastAsiaTheme="majorEastAsia" w:hAnsi="Arial Narrow"/>
                          <w:sz w:val="36"/>
                          <w:szCs w:val="20"/>
                        </w:rPr>
                        <w:t xml:space="preserve">recently ruled that </w:t>
                      </w:r>
                      <w:r w:rsidRPr="00CA7D2F">
                        <w:rPr>
                          <w:rFonts w:ascii="Arial Narrow" w:hAnsi="Arial Narrow"/>
                          <w:sz w:val="36"/>
                          <w:szCs w:val="20"/>
                        </w:rPr>
                        <w:t xml:space="preserve">an extended leave of absence beyond FMLA time isn't a “reasonable accommodation.”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54AF">
        <w:softHyphen/>
      </w:r>
      <w:bookmarkStart w:id="0" w:name="_GoBack"/>
      <w:bookmarkEnd w:id="0"/>
    </w:p>
    <w:sectPr w:rsidR="004E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ED0"/>
    <w:multiLevelType w:val="hybridMultilevel"/>
    <w:tmpl w:val="10222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86F49"/>
    <w:multiLevelType w:val="hybridMultilevel"/>
    <w:tmpl w:val="BBC298A8"/>
    <w:lvl w:ilvl="0" w:tplc="84F06EF2">
      <w:start w:val="1"/>
      <w:numFmt w:val="upperRoman"/>
      <w:lvlText w:val="%1."/>
      <w:lvlJc w:val="right"/>
      <w:pPr>
        <w:ind w:left="153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668D4E2">
      <w:start w:val="1"/>
      <w:numFmt w:val="lowerLetter"/>
      <w:lvlText w:val="%2."/>
      <w:lvlJc w:val="left"/>
      <w:pPr>
        <w:ind w:left="2250" w:hanging="360"/>
      </w:pPr>
    </w:lvl>
    <w:lvl w:ilvl="2" w:tplc="F6E8AF1E">
      <w:start w:val="1"/>
      <w:numFmt w:val="lowerRoman"/>
      <w:lvlText w:val="%3."/>
      <w:lvlJc w:val="right"/>
      <w:pPr>
        <w:ind w:left="297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86E3E77"/>
    <w:multiLevelType w:val="multilevel"/>
    <w:tmpl w:val="48FC3FC6"/>
    <w:lvl w:ilvl="0">
      <w:start w:val="1"/>
      <w:numFmt w:val="decimal"/>
      <w:pStyle w:val="Head3w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1E"/>
    <w:rsid w:val="00283F32"/>
    <w:rsid w:val="003F4376"/>
    <w:rsid w:val="004E2FCF"/>
    <w:rsid w:val="00577ECC"/>
    <w:rsid w:val="00652C1E"/>
    <w:rsid w:val="00820D70"/>
    <w:rsid w:val="008D54AF"/>
    <w:rsid w:val="008E1090"/>
    <w:rsid w:val="00A62009"/>
    <w:rsid w:val="00AE5B3C"/>
    <w:rsid w:val="00BC5815"/>
    <w:rsid w:val="00C27FB8"/>
    <w:rsid w:val="00C70EAC"/>
    <w:rsid w:val="00C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EFE7"/>
  <w15:chartTrackingRefBased/>
  <w15:docId w15:val="{E92EA63E-ECBA-427C-B152-141A463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15"/>
    <w:pPr>
      <w:spacing w:after="0" w:line="276" w:lineRule="auto"/>
    </w:pPr>
    <w:rPr>
      <w:rFonts w:ascii="Arial" w:hAnsi="Arial" w:cs="Arial"/>
      <w:sz w:val="20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20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">
    <w:name w:val="Arial 10 pt"/>
    <w:basedOn w:val="Normal"/>
    <w:link w:val="Arial10ptChar"/>
    <w:qFormat/>
    <w:rsid w:val="003F4376"/>
  </w:style>
  <w:style w:type="character" w:customStyle="1" w:styleId="Arial10ptChar">
    <w:name w:val="Arial 10 pt Char"/>
    <w:basedOn w:val="DefaultParagraphFont"/>
    <w:link w:val="Arial10pt"/>
    <w:rsid w:val="003F4376"/>
    <w:rPr>
      <w:rFonts w:ascii="Arial" w:eastAsia="Times New Roman" w:hAnsi="Arial" w:cs="Arial"/>
      <w:sz w:val="20"/>
      <w:lang w:bidi="en-US"/>
    </w:rPr>
  </w:style>
  <w:style w:type="paragraph" w:customStyle="1" w:styleId="Head3ws">
    <w:name w:val="Head 3 w #s"/>
    <w:basedOn w:val="Heading4"/>
    <w:link w:val="Head3wsChar"/>
    <w:qFormat/>
    <w:rsid w:val="00A62009"/>
    <w:pPr>
      <w:keepNext w:val="0"/>
      <w:numPr>
        <w:numId w:val="2"/>
      </w:numPr>
      <w:spacing w:line="240" w:lineRule="auto"/>
      <w:ind w:left="1530" w:hanging="360"/>
    </w:pPr>
    <w:rPr>
      <w:rFonts w:ascii="Arial" w:hAnsi="Arial" w:cs="Arial"/>
      <w:i w:val="0"/>
      <w:szCs w:val="20"/>
    </w:rPr>
  </w:style>
  <w:style w:type="character" w:customStyle="1" w:styleId="Head3wsChar">
    <w:name w:val="Head 3 w #s Char"/>
    <w:basedOn w:val="Heading4Char"/>
    <w:link w:val="Head3ws"/>
    <w:rsid w:val="00A62009"/>
    <w:rPr>
      <w:rFonts w:ascii="Arial" w:eastAsiaTheme="majorEastAsia" w:hAnsi="Arial" w:cs="Arial"/>
      <w:i w:val="0"/>
      <w:iCs/>
      <w:color w:val="2F5496" w:themeColor="accent1" w:themeShade="BF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200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Farwell</dc:creator>
  <cp:keywords/>
  <dc:description/>
  <cp:lastModifiedBy>Jennifer Farwell</cp:lastModifiedBy>
  <cp:revision>3</cp:revision>
  <cp:lastPrinted>2018-02-15T22:08:00Z</cp:lastPrinted>
  <dcterms:created xsi:type="dcterms:W3CDTF">2018-02-15T21:26:00Z</dcterms:created>
  <dcterms:modified xsi:type="dcterms:W3CDTF">2018-02-16T21:32:00Z</dcterms:modified>
</cp:coreProperties>
</file>